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F8E" w:rsidRPr="008A7F8E" w:rsidRDefault="008A7F8E" w:rsidP="008A7F8E">
      <w:pPr>
        <w:shd w:val="clear" w:color="auto" w:fill="FFFFFF"/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b/>
          <w:sz w:val="24"/>
          <w:szCs w:val="24"/>
          <w:lang w:val="hr-HR"/>
        </w:rPr>
        <w:t>BILJEŠKE UZ FINANCIJSKE IZVJEŠTAJE u razdoblju</w:t>
      </w:r>
    </w:p>
    <w:p w:rsidR="008A7F8E" w:rsidRPr="008A7F8E" w:rsidRDefault="008A7F8E" w:rsidP="008A7F8E">
      <w:pPr>
        <w:shd w:val="clear" w:color="auto" w:fill="FFFFFF"/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b/>
          <w:sz w:val="24"/>
          <w:szCs w:val="24"/>
          <w:lang w:val="hr-HR"/>
        </w:rPr>
        <w:t>od 01. siječnja do 31. prosinca 2019. godine</w:t>
      </w:r>
    </w:p>
    <w:p w:rsidR="008A7F8E" w:rsidRPr="008A7F8E" w:rsidRDefault="008A7F8E" w:rsidP="008A7F8E">
      <w:pPr>
        <w:shd w:val="clear" w:color="auto" w:fill="FFFFFF"/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8A7F8E" w:rsidRPr="008A7F8E" w:rsidRDefault="008A7F8E" w:rsidP="008A7F8E">
      <w:pPr>
        <w:shd w:val="clear" w:color="auto" w:fill="FFFFFF"/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8A7F8E" w:rsidRPr="008A7F8E" w:rsidRDefault="008A7F8E" w:rsidP="008A7F8E">
      <w:pPr>
        <w:shd w:val="clear" w:color="auto" w:fill="FFFFFF"/>
        <w:spacing w:before="120"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b/>
          <w:sz w:val="24"/>
          <w:szCs w:val="24"/>
          <w:lang w:val="hr-HR"/>
        </w:rPr>
        <w:t>Nadležno ministarstvo:</w:t>
      </w:r>
      <w:r w:rsidRPr="008A7F8E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  <w:shd w:val="clear" w:color="auto" w:fill="F2F2F2"/>
          <w:lang w:val="hr-HR"/>
        </w:rPr>
        <w:t>Ministarstvo znanosti i obrazovanja</w:t>
      </w:r>
    </w:p>
    <w:p w:rsidR="008A7F8E" w:rsidRPr="008A7F8E" w:rsidRDefault="008A7F8E" w:rsidP="008A7F8E">
      <w:pPr>
        <w:shd w:val="clear" w:color="auto" w:fill="FFFFFF"/>
        <w:spacing w:before="120"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b/>
          <w:sz w:val="24"/>
          <w:szCs w:val="24"/>
          <w:lang w:val="hr-HR"/>
        </w:rPr>
        <w:t>Razdjel:</w:t>
      </w:r>
      <w:r w:rsidRPr="008A7F8E">
        <w:rPr>
          <w:rFonts w:ascii="Times New Roman" w:eastAsia="Calibri" w:hAnsi="Times New Roman" w:cs="Times New Roman"/>
          <w:b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  <w:shd w:val="clear" w:color="auto" w:fill="F2F2F2"/>
          <w:lang w:val="hr-HR"/>
        </w:rPr>
        <w:t>080</w:t>
      </w:r>
    </w:p>
    <w:p w:rsidR="008A7F8E" w:rsidRPr="008A7F8E" w:rsidRDefault="008A7F8E" w:rsidP="008A7F8E">
      <w:pPr>
        <w:shd w:val="clear" w:color="auto" w:fill="FFFFFF"/>
        <w:spacing w:before="120"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b/>
          <w:sz w:val="24"/>
          <w:szCs w:val="24"/>
          <w:lang w:val="hr-HR"/>
        </w:rPr>
        <w:t>Glava:</w:t>
      </w:r>
      <w:r w:rsidRPr="008A7F8E">
        <w:rPr>
          <w:rFonts w:ascii="Times New Roman" w:eastAsia="Calibri" w:hAnsi="Times New Roman" w:cs="Times New Roman"/>
          <w:b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  <w:shd w:val="clear" w:color="auto" w:fill="F2F2F2"/>
          <w:lang w:val="hr-HR"/>
        </w:rPr>
        <w:t xml:space="preserve">08 – </w:t>
      </w:r>
      <w:r w:rsidRPr="008A7F8E">
        <w:rPr>
          <w:rFonts w:ascii="Times New Roman" w:eastAsia="Calibri" w:hAnsi="Times New Roman" w:cs="Times New Roman"/>
          <w:sz w:val="24"/>
          <w:szCs w:val="24"/>
          <w:bdr w:val="single" w:sz="4" w:space="0" w:color="auto"/>
          <w:shd w:val="clear" w:color="auto" w:fill="F2F2F2"/>
          <w:lang w:val="hr-HR"/>
        </w:rPr>
        <w:t>javni instituti u RH</w:t>
      </w:r>
    </w:p>
    <w:p w:rsidR="008A7F8E" w:rsidRPr="008A7F8E" w:rsidRDefault="008A7F8E" w:rsidP="008A7F8E">
      <w:pPr>
        <w:shd w:val="clear" w:color="auto" w:fill="FFFFFF"/>
        <w:spacing w:before="120"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b/>
          <w:sz w:val="24"/>
          <w:szCs w:val="24"/>
          <w:lang w:val="hr-HR"/>
        </w:rPr>
        <w:t>Proračunski korisnik:</w:t>
      </w:r>
      <w:r w:rsidRPr="008A7F8E">
        <w:rPr>
          <w:rFonts w:ascii="Times New Roman" w:eastAsia="Calibri" w:hAnsi="Times New Roman" w:cs="Times New Roman"/>
          <w:b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  <w:shd w:val="clear" w:color="auto" w:fill="F2F2F2"/>
          <w:lang w:val="hr-HR"/>
        </w:rPr>
        <w:t>Institut za migracije i narodnosti</w:t>
      </w:r>
    </w:p>
    <w:p w:rsidR="008A7F8E" w:rsidRPr="008A7F8E" w:rsidRDefault="008A7F8E" w:rsidP="008A7F8E">
      <w:pPr>
        <w:shd w:val="clear" w:color="auto" w:fill="FFFFFF"/>
        <w:spacing w:before="120"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b/>
          <w:sz w:val="24"/>
          <w:szCs w:val="24"/>
          <w:lang w:val="hr-HR"/>
        </w:rPr>
        <w:t>Adresa:</w:t>
      </w:r>
      <w:r w:rsidRPr="008A7F8E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sz w:val="24"/>
          <w:szCs w:val="24"/>
          <w:bdr w:val="single" w:sz="4" w:space="0" w:color="auto"/>
          <w:shd w:val="clear" w:color="auto" w:fill="F2F2F2"/>
          <w:lang w:val="hr-HR"/>
        </w:rPr>
        <w:t>Trg Stjepana Radića 3, 10000 Zagreb</w:t>
      </w:r>
    </w:p>
    <w:p w:rsidR="008A7F8E" w:rsidRPr="008A7F8E" w:rsidRDefault="008A7F8E" w:rsidP="008A7F8E">
      <w:pPr>
        <w:shd w:val="clear" w:color="auto" w:fill="FFFFFF"/>
        <w:spacing w:before="120"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b/>
          <w:sz w:val="24"/>
          <w:szCs w:val="24"/>
          <w:lang w:val="hr-HR"/>
        </w:rPr>
        <w:t>Razina:</w:t>
      </w:r>
      <w:r w:rsidRPr="008A7F8E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  <w:shd w:val="clear" w:color="auto" w:fill="F2F2F2"/>
          <w:lang w:val="hr-HR"/>
        </w:rPr>
        <w:t>11</w:t>
      </w:r>
    </w:p>
    <w:p w:rsidR="008A7F8E" w:rsidRPr="008A7F8E" w:rsidRDefault="008A7F8E" w:rsidP="008A7F8E">
      <w:pPr>
        <w:shd w:val="clear" w:color="auto" w:fill="FFFFFF"/>
        <w:spacing w:before="120"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b/>
          <w:sz w:val="24"/>
          <w:szCs w:val="24"/>
          <w:lang w:val="hr-HR"/>
        </w:rPr>
        <w:t>RKP br.:</w:t>
      </w:r>
      <w:r w:rsidRPr="008A7F8E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  <w:shd w:val="clear" w:color="auto" w:fill="F2F2F2"/>
          <w:lang w:val="hr-HR"/>
        </w:rPr>
        <w:t>3009</w:t>
      </w:r>
    </w:p>
    <w:p w:rsidR="008A7F8E" w:rsidRPr="008A7F8E" w:rsidRDefault="008A7F8E" w:rsidP="008A7F8E">
      <w:pPr>
        <w:shd w:val="clear" w:color="auto" w:fill="FFFFFF"/>
        <w:spacing w:before="120"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b/>
          <w:sz w:val="24"/>
          <w:szCs w:val="24"/>
          <w:lang w:val="hr-HR"/>
        </w:rPr>
        <w:t>Matični broj:</w:t>
      </w:r>
      <w:r w:rsidRPr="008A7F8E">
        <w:rPr>
          <w:rFonts w:ascii="Times New Roman" w:eastAsia="Calibri" w:hAnsi="Times New Roman" w:cs="Times New Roman"/>
          <w:b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  <w:shd w:val="clear" w:color="auto" w:fill="F2F2F2"/>
          <w:lang w:val="hr-HR"/>
        </w:rPr>
        <w:t>3287572</w:t>
      </w:r>
    </w:p>
    <w:p w:rsidR="008A7F8E" w:rsidRPr="008A7F8E" w:rsidRDefault="008A7F8E" w:rsidP="008A7F8E">
      <w:pPr>
        <w:shd w:val="clear" w:color="auto" w:fill="FFFFFF"/>
        <w:spacing w:before="120"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b/>
          <w:sz w:val="24"/>
          <w:szCs w:val="24"/>
          <w:lang w:val="hr-HR"/>
        </w:rPr>
        <w:t>OIB:</w:t>
      </w:r>
      <w:r w:rsidRPr="008A7F8E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  <w:shd w:val="clear" w:color="auto" w:fill="F2F2F2"/>
          <w:lang w:val="hr-HR"/>
        </w:rPr>
        <w:t>80265403319</w:t>
      </w:r>
    </w:p>
    <w:p w:rsidR="008A7F8E" w:rsidRPr="008A7F8E" w:rsidRDefault="008A7F8E" w:rsidP="008A7F8E">
      <w:pPr>
        <w:shd w:val="clear" w:color="auto" w:fill="FFFFFF"/>
        <w:spacing w:before="120"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b/>
          <w:sz w:val="24"/>
          <w:szCs w:val="24"/>
          <w:lang w:val="hr-HR"/>
        </w:rPr>
        <w:t>Šira djelatnosti:</w:t>
      </w:r>
      <w:r w:rsidRPr="008A7F8E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  <w:shd w:val="clear" w:color="auto" w:fill="F2F2F2"/>
          <w:lang w:val="hr-HR"/>
        </w:rPr>
        <w:t>7220</w:t>
      </w:r>
    </w:p>
    <w:p w:rsidR="008A7F8E" w:rsidRPr="008A7F8E" w:rsidRDefault="008A7F8E" w:rsidP="008A7F8E">
      <w:pPr>
        <w:shd w:val="clear" w:color="auto" w:fill="FFFFFF"/>
        <w:spacing w:before="120"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</w:pPr>
    </w:p>
    <w:p w:rsidR="008A7F8E" w:rsidRPr="008A7F8E" w:rsidRDefault="008A7F8E" w:rsidP="008A7F8E">
      <w:pPr>
        <w:shd w:val="clear" w:color="auto" w:fill="FFFFFF"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18"/>
          <w:lang w:val="hr-HR"/>
        </w:rPr>
      </w:pPr>
      <w:r w:rsidRPr="008A7F8E">
        <w:rPr>
          <w:rFonts w:ascii="Times New Roman" w:eastAsia="Calibri" w:hAnsi="Times New Roman" w:cs="Times New Roman"/>
          <w:sz w:val="24"/>
          <w:szCs w:val="18"/>
          <w:lang w:val="hr-HR"/>
        </w:rPr>
        <w:t>Institut za migracije i narodnosti jedina je znanstvenoistraživačka ustanova u Hrvatskoj, kao i u širem okruženju, koja sustavnim i kontinuiranim interdisciplinarnim praćenjem svih oblika migracija i mobilnosti stanovništva, proučavanjem nacionalnih/etničkih manjina i različitih aspekata etničke problematike, s osobitim zadaćama poticanja njihova komparativnog proučavanja, unapređuje znanstveno i javno razumijevanje njihove složenosti i stvarnosti. Sve navedene teme postale su iznimno važne za Republiku Hrvatsku u posljednjih dvadesetak godina s obzirom na povijesne okolnosti, a prije svega na probleme nastale raspadom bivše države, promjene granica i posljedice Domovinskog rata koji su rezultirali raznim vrstama seljenja. Neke od tema postale su još važnije pristupanjem Republike Hrvatske Europskoj uniji. Naime, integracija Hrvatske u Uniju otvara, uz dosadašnja migracijska kretanja, nove istraživačke teme u području migracija i etničnosti: drugačiji položaj hrvatskih državljana u europskom prostoru (nove ekonomske, obrazovne, obiteljske i druge migracije), problem starih i novih manjina, novi oblici prekograničnih suradnji, položaj Hrvatske kao emigracijske i imigracijske zemlje, izrada nove hrvatske migracijske politike, izrada integracijske politike, transnacionalne migracije, problem hrvatskog iseljeništva, sve značajnija pitanja azila i nezakonitih migracija, kao i mnoga druga. Osim toga, istraživanja hrvatskog identiteta te stanovništva hrvatskih otoka, priobalja i kontinentalnih regija kao i komparativna istraživanja problematike postmigracijskih fenomena poput integracije migranata također zauzimaju značajno mjesto u području djelatnosti Instituta. Bavljenje Instituta navedenom problematikom pozicionira ga među slične europske i svjetske znanstvenoistraživačke institucije te otvara za suradnju sa svim partnerima kojima je primarna djelatnost istraživanje fenomena migracija, etničnosti, identiteta i mobilnosti.</w:t>
      </w:r>
    </w:p>
    <w:p w:rsidR="008A7F8E" w:rsidRPr="008A7F8E" w:rsidRDefault="008A7F8E" w:rsidP="008A7F8E">
      <w:pPr>
        <w:shd w:val="clear" w:color="auto" w:fill="FFFFFF"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18"/>
          <w:lang w:val="hr-HR"/>
        </w:rPr>
      </w:pPr>
      <w:r w:rsidRPr="008A7F8E">
        <w:rPr>
          <w:rFonts w:ascii="Times New Roman" w:eastAsia="Calibri" w:hAnsi="Times New Roman" w:cs="Times New Roman"/>
          <w:sz w:val="24"/>
          <w:szCs w:val="18"/>
          <w:lang w:val="hr-HR"/>
        </w:rPr>
        <w:t xml:space="preserve">Institut za migracije narodnosti nije u sustavu PDV-a (temeljem čl. 39. st.1./i. Zakona o PDV-u). </w:t>
      </w:r>
    </w:p>
    <w:p w:rsidR="009369D0" w:rsidRDefault="008A7F8E" w:rsidP="008A7F8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  <w:lang w:val="hr-HR"/>
        </w:rPr>
      </w:pPr>
      <w:r w:rsidRPr="008A7F8E">
        <w:rPr>
          <w:rFonts w:ascii="Times New Roman" w:eastAsia="Calibri" w:hAnsi="Times New Roman" w:cs="Times New Roman"/>
          <w:sz w:val="24"/>
          <w:szCs w:val="18"/>
          <w:lang w:val="hr-HR"/>
        </w:rPr>
        <w:t xml:space="preserve">Odgovorna osoba od 1. siječnja do 31. prosinca 2019. godine je dr. sc. Marina Perić Kaselj </w:t>
      </w:r>
    </w:p>
    <w:p w:rsidR="008A7F8E" w:rsidRPr="008A7F8E" w:rsidRDefault="008A7F8E" w:rsidP="008A7F8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8"/>
          <w:lang w:val="hr-HR"/>
        </w:rPr>
      </w:pPr>
      <w:r w:rsidRPr="008A7F8E">
        <w:rPr>
          <w:rFonts w:ascii="Times New Roman" w:eastAsia="Calibri" w:hAnsi="Times New Roman" w:cs="Times New Roman"/>
          <w:sz w:val="24"/>
          <w:szCs w:val="18"/>
          <w:lang w:val="hr-HR"/>
        </w:rPr>
        <w:t>(</w:t>
      </w:r>
      <w:bookmarkStart w:id="0" w:name="_GoBack"/>
      <w:bookmarkEnd w:id="0"/>
      <w:r w:rsidR="007A2F64">
        <w:rPr>
          <w:rFonts w:ascii="Times New Roman" w:eastAsia="Calibri" w:hAnsi="Times New Roman" w:cs="Times New Roman"/>
          <w:sz w:val="24"/>
          <w:szCs w:val="18"/>
          <w:lang w:val="hr-HR"/>
        </w:rPr>
        <w:t>ravnateljica</w:t>
      </w:r>
      <w:r w:rsidRPr="008A7F8E">
        <w:rPr>
          <w:rFonts w:ascii="Times New Roman" w:eastAsia="Calibri" w:hAnsi="Times New Roman" w:cs="Times New Roman"/>
          <w:sz w:val="24"/>
          <w:szCs w:val="18"/>
          <w:lang w:val="hr-HR"/>
        </w:rPr>
        <w:t xml:space="preserve"> Instituta). </w:t>
      </w:r>
    </w:p>
    <w:p w:rsidR="008A7F8E" w:rsidRPr="008A7F8E" w:rsidRDefault="008A7F8E" w:rsidP="008A7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8A7F8E">
        <w:rPr>
          <w:rFonts w:ascii="Times New Roman" w:eastAsia="Calibri" w:hAnsi="Times New Roman" w:cs="Times New Roman"/>
          <w:sz w:val="24"/>
          <w:szCs w:val="18"/>
          <w:lang w:val="hr-HR"/>
        </w:rPr>
        <w:lastRenderedPageBreak/>
        <w:t xml:space="preserve">Za poslovanje Instituta za migracije i narodnosti relevantan je sljedeći zakonski okvir: </w:t>
      </w:r>
      <w:r w:rsidRPr="008A7F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Zakon o proračunu (Narodne novine, br. </w:t>
      </w:r>
      <w:hyperlink r:id="rId7" w:history="1">
        <w:r w:rsidRPr="008A7F8E">
          <w:rPr>
            <w:rFonts w:ascii="Times New Roman" w:eastAsia="Times New Roman" w:hAnsi="Times New Roman" w:cs="Times New Roman"/>
            <w:sz w:val="24"/>
            <w:szCs w:val="24"/>
            <w:u w:val="single"/>
            <w:lang w:val="hr-HR" w:eastAsia="hr-HR"/>
          </w:rPr>
          <w:t>87/08</w:t>
        </w:r>
      </w:hyperlink>
      <w:r w:rsidRPr="008A7F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hyperlink r:id="rId8" w:history="1">
        <w:r w:rsidRPr="008A7F8E">
          <w:rPr>
            <w:rFonts w:ascii="Times New Roman" w:eastAsia="Times New Roman" w:hAnsi="Times New Roman" w:cs="Times New Roman"/>
            <w:sz w:val="24"/>
            <w:szCs w:val="24"/>
            <w:u w:val="single"/>
            <w:lang w:val="hr-HR" w:eastAsia="hr-HR"/>
          </w:rPr>
          <w:t>136/12</w:t>
        </w:r>
      </w:hyperlink>
      <w:r w:rsidRPr="008A7F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</w:t>
      </w:r>
      <w:hyperlink r:id="rId9" w:history="1">
        <w:r w:rsidRPr="008A7F8E">
          <w:rPr>
            <w:rFonts w:ascii="Times New Roman" w:eastAsia="Times New Roman" w:hAnsi="Times New Roman" w:cs="Times New Roman"/>
            <w:sz w:val="24"/>
            <w:szCs w:val="24"/>
            <w:u w:val="single"/>
            <w:lang w:val="hr-HR" w:eastAsia="hr-HR"/>
          </w:rPr>
          <w:t>15/15</w:t>
        </w:r>
      </w:hyperlink>
      <w:r w:rsidRPr="008A7F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), Pravilnik o polugodišnjem i godišnjem izvještaju o izvršenju proračuna (Narodne novine, br. </w:t>
      </w:r>
      <w:hyperlink r:id="rId10" w:history="1">
        <w:r w:rsidRPr="008A7F8E">
          <w:rPr>
            <w:rFonts w:ascii="Times New Roman" w:eastAsia="Times New Roman" w:hAnsi="Times New Roman" w:cs="Times New Roman"/>
            <w:sz w:val="24"/>
            <w:szCs w:val="24"/>
            <w:u w:val="single"/>
            <w:lang w:val="hr-HR" w:eastAsia="hr-HR"/>
          </w:rPr>
          <w:t>24/13</w:t>
        </w:r>
      </w:hyperlink>
      <w:r w:rsidRPr="008A7F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), Pravilnik o financijskom izvještavanju u proračunskom računovodstvu (Narodne novine, br. </w:t>
      </w:r>
      <w:hyperlink r:id="rId11" w:history="1">
        <w:r w:rsidRPr="008A7F8E">
          <w:rPr>
            <w:rFonts w:ascii="Times New Roman" w:eastAsia="Times New Roman" w:hAnsi="Times New Roman" w:cs="Times New Roman"/>
            <w:sz w:val="24"/>
            <w:szCs w:val="24"/>
            <w:u w:val="single"/>
            <w:lang w:val="hr-HR" w:eastAsia="hr-HR"/>
          </w:rPr>
          <w:t>32/11</w:t>
        </w:r>
      </w:hyperlink>
      <w:r w:rsidRPr="008A7F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</w:t>
      </w:r>
      <w:hyperlink r:id="rId12" w:history="1">
        <w:r w:rsidRPr="008A7F8E">
          <w:rPr>
            <w:rFonts w:ascii="Times New Roman" w:eastAsia="Times New Roman" w:hAnsi="Times New Roman" w:cs="Times New Roman"/>
            <w:sz w:val="24"/>
            <w:szCs w:val="24"/>
            <w:u w:val="single"/>
            <w:lang w:val="hr-HR" w:eastAsia="hr-HR"/>
          </w:rPr>
          <w:t>3/15</w:t>
        </w:r>
      </w:hyperlink>
      <w:r w:rsidRPr="008A7F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), Pravilnik o proračunskim klasifikacijama (Narodne novine, br. </w:t>
      </w:r>
      <w:hyperlink r:id="rId13" w:history="1">
        <w:r w:rsidRPr="008A7F8E">
          <w:rPr>
            <w:rFonts w:ascii="Times New Roman" w:eastAsia="Times New Roman" w:hAnsi="Times New Roman" w:cs="Times New Roman"/>
            <w:sz w:val="24"/>
            <w:szCs w:val="24"/>
            <w:u w:val="single"/>
            <w:lang w:val="hr-HR" w:eastAsia="hr-HR"/>
          </w:rPr>
          <w:t>26/10</w:t>
        </w:r>
      </w:hyperlink>
      <w:r w:rsidRPr="008A7F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</w:t>
      </w:r>
      <w:hyperlink r:id="rId14" w:history="1">
        <w:r w:rsidRPr="008A7F8E">
          <w:rPr>
            <w:rFonts w:ascii="Times New Roman" w:eastAsia="Times New Roman" w:hAnsi="Times New Roman" w:cs="Times New Roman"/>
            <w:sz w:val="24"/>
            <w:szCs w:val="24"/>
            <w:u w:val="single"/>
            <w:lang w:val="hr-HR" w:eastAsia="hr-HR"/>
          </w:rPr>
          <w:t>120/13</w:t>
        </w:r>
      </w:hyperlink>
      <w:r w:rsidRPr="008A7F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), Pravilnik o utvrđivanju proračunskih i izvanproračunskih korisnika državnog proračuna i proračunskih i izvanproračunskih korisnika proračuna jedinica lokalne i područne (regionalne) samouprave te o načinu vođenja Registra... (Narodne novine, br. </w:t>
      </w:r>
      <w:hyperlink r:id="rId15" w:history="1">
        <w:r w:rsidRPr="008A7F8E">
          <w:rPr>
            <w:rFonts w:ascii="Times New Roman" w:eastAsia="Times New Roman" w:hAnsi="Times New Roman" w:cs="Times New Roman"/>
            <w:sz w:val="24"/>
            <w:szCs w:val="24"/>
            <w:u w:val="single"/>
            <w:lang w:val="hr-HR" w:eastAsia="hr-HR"/>
          </w:rPr>
          <w:t>128/09</w:t>
        </w:r>
      </w:hyperlink>
      <w:r w:rsidRPr="008A7F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</w:t>
      </w:r>
      <w:hyperlink r:id="rId16" w:history="1">
        <w:r w:rsidRPr="008A7F8E">
          <w:rPr>
            <w:rFonts w:ascii="Times New Roman" w:eastAsia="Times New Roman" w:hAnsi="Times New Roman" w:cs="Times New Roman"/>
            <w:sz w:val="24"/>
            <w:szCs w:val="24"/>
            <w:u w:val="single"/>
            <w:lang w:val="hr-HR" w:eastAsia="hr-HR"/>
          </w:rPr>
          <w:t>142/14</w:t>
        </w:r>
      </w:hyperlink>
      <w:r w:rsidRPr="008A7F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), Zakon o fiskalnoj odgovornosti (Narodne novine, br. </w:t>
      </w:r>
      <w:hyperlink r:id="rId17" w:history="1">
        <w:r w:rsidRPr="008A7F8E">
          <w:rPr>
            <w:rFonts w:ascii="Times New Roman" w:eastAsia="Times New Roman" w:hAnsi="Times New Roman" w:cs="Times New Roman"/>
            <w:sz w:val="24"/>
            <w:szCs w:val="24"/>
            <w:u w:val="single"/>
            <w:lang w:val="hr-HR" w:eastAsia="hr-HR"/>
          </w:rPr>
          <w:t>139/10</w:t>
        </w:r>
      </w:hyperlink>
      <w:r w:rsidRPr="008A7F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</w:t>
      </w:r>
      <w:hyperlink r:id="rId18" w:history="1">
        <w:r w:rsidRPr="008A7F8E">
          <w:rPr>
            <w:rFonts w:ascii="Times New Roman" w:eastAsia="Times New Roman" w:hAnsi="Times New Roman" w:cs="Times New Roman"/>
            <w:sz w:val="24"/>
            <w:szCs w:val="24"/>
            <w:u w:val="single"/>
            <w:lang w:val="hr-HR" w:eastAsia="hr-HR"/>
          </w:rPr>
          <w:t>19/14</w:t>
        </w:r>
      </w:hyperlink>
      <w:r w:rsidRPr="008A7F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), Uredba o sastavljanju i predaji Izjave o fiskalnoj odgovornosti i izvještaja o primjeni fiskalnih pravila (Narodne novine, br. </w:t>
      </w:r>
      <w:hyperlink r:id="rId19" w:history="1">
        <w:r w:rsidRPr="008A7F8E">
          <w:rPr>
            <w:rFonts w:ascii="Times New Roman" w:eastAsia="Times New Roman" w:hAnsi="Times New Roman" w:cs="Times New Roman"/>
            <w:sz w:val="24"/>
            <w:szCs w:val="24"/>
            <w:u w:val="single"/>
            <w:lang w:val="hr-HR" w:eastAsia="hr-HR"/>
          </w:rPr>
          <w:t>78/11</w:t>
        </w:r>
      </w:hyperlink>
      <w:r w:rsidRPr="008A7F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hyperlink r:id="rId20" w:history="1">
        <w:r w:rsidRPr="008A7F8E">
          <w:rPr>
            <w:rFonts w:ascii="Times New Roman" w:eastAsia="Times New Roman" w:hAnsi="Times New Roman" w:cs="Times New Roman"/>
            <w:sz w:val="24"/>
            <w:szCs w:val="24"/>
            <w:u w:val="single"/>
            <w:lang w:val="hr-HR" w:eastAsia="hr-HR"/>
          </w:rPr>
          <w:t>106/12</w:t>
        </w:r>
      </w:hyperlink>
      <w:r w:rsidRPr="008A7F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hyperlink r:id="rId21" w:history="1">
        <w:r w:rsidRPr="008A7F8E">
          <w:rPr>
            <w:rFonts w:ascii="Times New Roman" w:eastAsia="Times New Roman" w:hAnsi="Times New Roman" w:cs="Times New Roman"/>
            <w:sz w:val="24"/>
            <w:szCs w:val="24"/>
            <w:u w:val="single"/>
            <w:lang w:val="hr-HR" w:eastAsia="hr-HR"/>
          </w:rPr>
          <w:t>130/13</w:t>
        </w:r>
      </w:hyperlink>
      <w:r w:rsidRPr="008A7F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</w:t>
      </w:r>
      <w:hyperlink r:id="rId22" w:history="1">
        <w:r w:rsidRPr="008A7F8E">
          <w:rPr>
            <w:rFonts w:ascii="Times New Roman" w:eastAsia="Times New Roman" w:hAnsi="Times New Roman" w:cs="Times New Roman"/>
            <w:sz w:val="24"/>
            <w:szCs w:val="24"/>
            <w:u w:val="single"/>
            <w:lang w:val="hr-HR" w:eastAsia="hr-HR"/>
          </w:rPr>
          <w:t>19/15</w:t>
        </w:r>
      </w:hyperlink>
      <w:r w:rsidRPr="008A7F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).</w:t>
      </w:r>
    </w:p>
    <w:p w:rsidR="008A7F8E" w:rsidRPr="008A7F8E" w:rsidRDefault="008A7F8E" w:rsidP="008A7F8E">
      <w:pPr>
        <w:shd w:val="clear" w:color="auto" w:fill="FFFFFF"/>
        <w:spacing w:before="120"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</w:pPr>
    </w:p>
    <w:p w:rsidR="008A7F8E" w:rsidRPr="008A7F8E" w:rsidRDefault="008A7F8E" w:rsidP="008A7F8E">
      <w:pPr>
        <w:keepNext/>
        <w:spacing w:before="120" w:after="0" w:line="240" w:lineRule="auto"/>
        <w:ind w:left="927" w:hanging="360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hr-HR"/>
        </w:rPr>
      </w:pPr>
      <w:r w:rsidRPr="008A7F8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hr-HR"/>
        </w:rPr>
        <w:t>Bilješke uz Bilancu</w:t>
      </w:r>
    </w:p>
    <w:p w:rsidR="008A7F8E" w:rsidRPr="008A7F8E" w:rsidRDefault="008A7F8E" w:rsidP="008A7F8E">
      <w:pPr>
        <w:spacing w:after="200" w:line="276" w:lineRule="auto"/>
        <w:rPr>
          <w:rFonts w:ascii="Times New Roman" w:eastAsia="Calibri" w:hAnsi="Times New Roman" w:cs="Times New Roman"/>
          <w:sz w:val="24"/>
          <w:lang w:val="hr-HR"/>
        </w:rPr>
      </w:pPr>
    </w:p>
    <w:p w:rsidR="008A7F8E" w:rsidRPr="008A7F8E" w:rsidRDefault="008A7F8E" w:rsidP="008A7F8E">
      <w:pPr>
        <w:keepNext/>
        <w:spacing w:before="120" w:after="0" w:line="240" w:lineRule="auto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</w:pPr>
      <w:r w:rsidRPr="008A7F8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  <w:t>Bilješka broj 1. (AOP 013, AOP 023, AOP 035, AOP 045)</w:t>
      </w:r>
    </w:p>
    <w:p w:rsidR="008A7F8E" w:rsidRPr="008A7F8E" w:rsidRDefault="008A7F8E" w:rsidP="008A7F8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sz w:val="24"/>
          <w:szCs w:val="24"/>
          <w:lang w:val="hr-HR"/>
        </w:rPr>
        <w:t>Vrijednost dugotrajne imovine ispravljena je po zakonskim godišnjim stopama, osim knjiga u Knjižnici (posebna odluka ravnatelja Instituta), linearnom metodom, sukladno članku 20. Pravilnika o proračunskom računovodstvu i računskom planu (nadalje: Pravilnik), kao i popisu stopa iz istog Pravilnika.</w:t>
      </w:r>
    </w:p>
    <w:p w:rsidR="008A7F8E" w:rsidRPr="008A7F8E" w:rsidRDefault="008A7F8E" w:rsidP="008A7F8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8A7F8E" w:rsidRPr="008A7F8E" w:rsidRDefault="008A7F8E" w:rsidP="008A7F8E">
      <w:pPr>
        <w:keepNext/>
        <w:spacing w:before="120" w:after="0" w:line="240" w:lineRule="auto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</w:pPr>
      <w:r w:rsidRPr="008A7F8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  <w:t>Bilješka broj 2. (AOP 064)  Novac u banci i blagajni</w:t>
      </w:r>
    </w:p>
    <w:p w:rsidR="008A7F8E" w:rsidRPr="008A7F8E" w:rsidRDefault="008A7F8E" w:rsidP="008A7F8E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sz w:val="24"/>
          <w:szCs w:val="24"/>
          <w:lang w:val="hr-HR"/>
        </w:rPr>
        <w:t>AOP 064 jednak je AOP 641 iznosi 381.872 u obrascu PR-RAS.</w:t>
      </w:r>
    </w:p>
    <w:p w:rsidR="008A7F8E" w:rsidRPr="008A7F8E" w:rsidRDefault="008A7F8E" w:rsidP="008A7F8E">
      <w:pPr>
        <w:keepNext/>
        <w:spacing w:before="120" w:after="0" w:line="240" w:lineRule="auto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</w:pPr>
    </w:p>
    <w:p w:rsidR="008A7F8E" w:rsidRPr="008A7F8E" w:rsidRDefault="008A7F8E" w:rsidP="008A7F8E">
      <w:pPr>
        <w:keepNext/>
        <w:spacing w:before="120" w:after="0" w:line="240" w:lineRule="auto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</w:pPr>
      <w:r w:rsidRPr="008A7F8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  <w:t>Bilješka broj 3. (AOP 158)  Rashodi budućih razdoblja i nedospjela naplata prihoda</w:t>
      </w:r>
    </w:p>
    <w:p w:rsidR="008A7F8E" w:rsidRPr="008A7F8E" w:rsidRDefault="008A7F8E" w:rsidP="008A7F8E">
      <w:pPr>
        <w:keepNext/>
        <w:spacing w:before="120"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val="hr-HR"/>
        </w:rPr>
      </w:pPr>
      <w:r w:rsidRPr="008A7F8E">
        <w:rPr>
          <w:rFonts w:ascii="Times New Roman" w:eastAsia="Times New Roman" w:hAnsi="Times New Roman" w:cs="Times New Roman"/>
          <w:bCs/>
          <w:iCs/>
          <w:sz w:val="24"/>
          <w:szCs w:val="24"/>
          <w:lang w:val="hr-HR"/>
        </w:rPr>
        <w:t>AOP 158 jednak je AOP 637 (Rashodi budućih razdoblja) iznosi 363.672 u obrascu PR-RAS, a odnosi se na plaće zaposlenika za mjesec prosinac 2019. godine.</w:t>
      </w:r>
    </w:p>
    <w:p w:rsidR="008A7F8E" w:rsidRPr="008A7F8E" w:rsidRDefault="008A7F8E" w:rsidP="008A7F8E">
      <w:pPr>
        <w:spacing w:after="200" w:line="276" w:lineRule="auto"/>
        <w:rPr>
          <w:rFonts w:ascii="Times New Roman" w:eastAsia="Calibri" w:hAnsi="Times New Roman" w:cs="Times New Roman"/>
          <w:sz w:val="16"/>
          <w:lang w:val="hr-HR"/>
        </w:rPr>
      </w:pPr>
    </w:p>
    <w:p w:rsidR="008A7F8E" w:rsidRPr="008A7F8E" w:rsidRDefault="008A7F8E" w:rsidP="008A7F8E">
      <w:pPr>
        <w:keepNext/>
        <w:spacing w:before="120" w:after="0" w:line="240" w:lineRule="auto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</w:pPr>
      <w:r w:rsidRPr="008A7F8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  <w:t>Bilješka broj 4. (AOP 244, AOP 245)  Izvanbilančni zapisi</w:t>
      </w:r>
    </w:p>
    <w:p w:rsidR="008A7F8E" w:rsidRPr="008A7F8E" w:rsidRDefault="008A7F8E" w:rsidP="008A7F8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sz w:val="24"/>
          <w:lang w:val="hr-HR"/>
        </w:rPr>
        <w:t xml:space="preserve">U iznosu od 220.938 HRK, </w:t>
      </w:r>
      <w:r w:rsidRPr="008A7F8E">
        <w:rPr>
          <w:rFonts w:ascii="Times New Roman" w:eastAsia="Calibri" w:hAnsi="Times New Roman" w:cs="Times New Roman"/>
          <w:sz w:val="24"/>
          <w:szCs w:val="24"/>
          <w:lang w:val="hr-HR"/>
        </w:rPr>
        <w:t>odnosi se na potraživanje za božićnicu po sudskoj presudi iz 2001. godine prema Ministarstvu znanosti i obrazovanja.</w:t>
      </w:r>
    </w:p>
    <w:p w:rsidR="008A7F8E" w:rsidRPr="008A7F8E" w:rsidRDefault="008A7F8E" w:rsidP="008A7F8E">
      <w:pPr>
        <w:spacing w:before="120" w:after="0" w:line="240" w:lineRule="auto"/>
        <w:rPr>
          <w:rFonts w:ascii="Times New Roman" w:eastAsia="Calibri" w:hAnsi="Times New Roman" w:cs="Times New Roman"/>
          <w:sz w:val="20"/>
          <w:szCs w:val="24"/>
          <w:lang w:val="hr-HR"/>
        </w:rPr>
      </w:pPr>
    </w:p>
    <w:p w:rsidR="008A7F8E" w:rsidRPr="008A7F8E" w:rsidRDefault="008A7F8E" w:rsidP="008A7F8E">
      <w:pPr>
        <w:keepNext/>
        <w:spacing w:before="120" w:after="0" w:line="240" w:lineRule="auto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</w:pPr>
    </w:p>
    <w:p w:rsidR="008A7F8E" w:rsidRPr="008A7F8E" w:rsidRDefault="008A7F8E" w:rsidP="008A7F8E">
      <w:pPr>
        <w:keepNext/>
        <w:spacing w:before="120" w:after="0" w:line="240" w:lineRule="auto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</w:pPr>
      <w:r w:rsidRPr="008A7F8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  <w:t xml:space="preserve">Bilješka broj 5. (AOP 232)  </w:t>
      </w:r>
    </w:p>
    <w:p w:rsidR="008A7F8E" w:rsidRPr="008A7F8E" w:rsidRDefault="008A7F8E" w:rsidP="008A7F8E">
      <w:pPr>
        <w:keepNext/>
        <w:spacing w:before="120"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val="hr-HR"/>
        </w:rPr>
      </w:pPr>
      <w:r w:rsidRPr="008A7F8E">
        <w:rPr>
          <w:rFonts w:ascii="Times New Roman" w:eastAsia="Times New Roman" w:hAnsi="Times New Roman" w:cs="Times New Roman"/>
          <w:bCs/>
          <w:iCs/>
          <w:sz w:val="24"/>
          <w:szCs w:val="24"/>
          <w:lang w:val="hr-HR"/>
        </w:rPr>
        <w:t>AOP 232 jednak je AOP 635 u obrascu PR-RAS.</w:t>
      </w:r>
    </w:p>
    <w:p w:rsidR="008A7F8E" w:rsidRPr="008A7F8E" w:rsidRDefault="008A7F8E" w:rsidP="008A7F8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sz w:val="24"/>
          <w:szCs w:val="24"/>
          <w:lang w:val="hr-HR"/>
        </w:rPr>
        <w:t>Višak prihoda u iznosu od 343.181 HRK sastoji se od prenesenog viška prihoda poslovanja iz 2018-te godine u iznosu od 317.797 kn umanjenog za manjak prihoda iz 2018-te godine u iznosu od 115.979,00 kn. Višak prihoda koristit će se u za pokriće rashoda poslovanja u 2019. proračunskoj godini.</w:t>
      </w:r>
    </w:p>
    <w:p w:rsidR="008A7F8E" w:rsidRPr="008A7F8E" w:rsidRDefault="008A7F8E" w:rsidP="008A7F8E">
      <w:pPr>
        <w:spacing w:before="120" w:after="0" w:line="240" w:lineRule="auto"/>
        <w:rPr>
          <w:rFonts w:ascii="Times New Roman" w:eastAsia="Calibri" w:hAnsi="Times New Roman" w:cs="Times New Roman"/>
          <w:sz w:val="20"/>
          <w:szCs w:val="24"/>
          <w:lang w:val="hr-HR"/>
        </w:rPr>
      </w:pPr>
    </w:p>
    <w:p w:rsidR="008A7F8E" w:rsidRPr="008A7F8E" w:rsidRDefault="008A7F8E" w:rsidP="008A7F8E">
      <w:pPr>
        <w:keepNext/>
        <w:spacing w:before="120" w:after="0" w:line="240" w:lineRule="auto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</w:pPr>
      <w:r w:rsidRPr="008A7F8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  <w:t>Bilješka broj 6. (AOP 240)  Obračunati prihodi poslovanja</w:t>
      </w:r>
    </w:p>
    <w:p w:rsidR="008A7F8E" w:rsidRPr="008A7F8E" w:rsidRDefault="008A7F8E" w:rsidP="008A7F8E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sz w:val="24"/>
          <w:szCs w:val="24"/>
          <w:lang w:val="hr-HR"/>
        </w:rPr>
        <w:t>AOP 240 jednak je AOP 287 iz obrasca PR-RAS iznosi 2.009 kn</w:t>
      </w:r>
    </w:p>
    <w:p w:rsidR="008A7F8E" w:rsidRPr="008A7F8E" w:rsidRDefault="008A7F8E" w:rsidP="008A7F8E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8A7F8E" w:rsidRPr="008A7F8E" w:rsidRDefault="008A7F8E" w:rsidP="008A7F8E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8A7F8E" w:rsidRPr="008A7F8E" w:rsidRDefault="008A7F8E" w:rsidP="008A7F8E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8A7F8E" w:rsidRPr="008A7F8E" w:rsidRDefault="008A7F8E" w:rsidP="008A7F8E">
      <w:pPr>
        <w:keepNext/>
        <w:spacing w:before="120" w:after="0" w:line="240" w:lineRule="auto"/>
        <w:ind w:left="927" w:hanging="360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hr-HR"/>
        </w:rPr>
      </w:pPr>
      <w:r w:rsidRPr="008A7F8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hr-HR"/>
        </w:rPr>
        <w:t>Bilješke uz Izvještaj o prihodima i rashodima, primicima i izdacima - obrazac PR-RAS</w:t>
      </w:r>
    </w:p>
    <w:p w:rsidR="008A7F8E" w:rsidRPr="008A7F8E" w:rsidRDefault="008A7F8E" w:rsidP="008A7F8E">
      <w:pPr>
        <w:keepNext/>
        <w:spacing w:before="120" w:after="0" w:line="240" w:lineRule="auto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  <w:highlight w:val="yellow"/>
          <w:lang w:val="hr-HR"/>
        </w:rPr>
      </w:pPr>
    </w:p>
    <w:p w:rsidR="008A7F8E" w:rsidRPr="008A7F8E" w:rsidRDefault="008A7F8E" w:rsidP="008A7F8E">
      <w:pPr>
        <w:keepNext/>
        <w:spacing w:before="120" w:after="0" w:line="240" w:lineRule="auto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</w:pPr>
      <w:r w:rsidRPr="008A7F8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  <w:t>Bilješka broj 7. (AOP 070) PR-RAS  Tekući prijenosi između proračunskih korisnika istog proračuna</w:t>
      </w:r>
    </w:p>
    <w:p w:rsidR="008A7F8E" w:rsidRPr="008A7F8E" w:rsidRDefault="008A7F8E" w:rsidP="008A7F8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sz w:val="24"/>
          <w:szCs w:val="24"/>
          <w:lang w:val="hr-HR"/>
        </w:rPr>
        <w:t>Tekući prijenos primljen je od Ministarstva znanosti i obrazovanja u iznosu od 80.381,00 HRK.</w:t>
      </w:r>
    </w:p>
    <w:p w:rsidR="008A7F8E" w:rsidRPr="008A7F8E" w:rsidRDefault="008A7F8E" w:rsidP="008A7F8E">
      <w:pPr>
        <w:keepNext/>
        <w:spacing w:before="120" w:after="0" w:line="240" w:lineRule="auto"/>
        <w:outlineLvl w:val="1"/>
        <w:rPr>
          <w:rFonts w:ascii="Times New Roman" w:eastAsia="Times New Roman" w:hAnsi="Times New Roman" w:cs="Times New Roman"/>
          <w:bCs/>
          <w:i/>
          <w:iCs/>
          <w:sz w:val="14"/>
          <w:szCs w:val="24"/>
          <w:lang w:val="hr-HR"/>
        </w:rPr>
      </w:pPr>
    </w:p>
    <w:p w:rsidR="008A7F8E" w:rsidRPr="008A7F8E" w:rsidRDefault="008A7F8E" w:rsidP="008A7F8E">
      <w:pPr>
        <w:spacing w:after="200" w:line="276" w:lineRule="auto"/>
        <w:rPr>
          <w:rFonts w:ascii="Times New Roman" w:eastAsia="Calibri" w:hAnsi="Times New Roman" w:cs="Times New Roman"/>
          <w:sz w:val="24"/>
          <w:highlight w:val="yellow"/>
          <w:lang w:val="hr-HR"/>
        </w:rPr>
      </w:pPr>
    </w:p>
    <w:p w:rsidR="008A7F8E" w:rsidRPr="008A7F8E" w:rsidRDefault="008A7F8E" w:rsidP="008A7F8E">
      <w:pPr>
        <w:keepNext/>
        <w:spacing w:before="120" w:after="0" w:line="240" w:lineRule="auto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</w:pPr>
      <w:r w:rsidRPr="008A7F8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  <w:t xml:space="preserve">Bilješka broj 08. (AOP 125, AOP 126,) </w:t>
      </w:r>
    </w:p>
    <w:p w:rsidR="008A7F8E" w:rsidRPr="008A7F8E" w:rsidRDefault="008A7F8E" w:rsidP="008A7F8E">
      <w:pPr>
        <w:keepNext/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val="hr-HR"/>
        </w:rPr>
      </w:pPr>
      <w:r w:rsidRPr="008A7F8E">
        <w:rPr>
          <w:rFonts w:ascii="Times New Roman" w:eastAsia="Times New Roman" w:hAnsi="Times New Roman" w:cs="Times New Roman"/>
          <w:bCs/>
          <w:iCs/>
          <w:sz w:val="24"/>
          <w:szCs w:val="24"/>
          <w:lang w:val="hr-HR"/>
        </w:rPr>
        <w:t>Prihodi od prodaje časopisa MET i ostalih institutskih izdanja, kao i prihodi od pruženih usluga (režijski troškovi za poslovni prostor Krčka) .</w:t>
      </w:r>
    </w:p>
    <w:p w:rsidR="008A7F8E" w:rsidRPr="008A7F8E" w:rsidRDefault="008A7F8E" w:rsidP="008A7F8E">
      <w:pPr>
        <w:spacing w:after="200" w:line="276" w:lineRule="auto"/>
        <w:rPr>
          <w:rFonts w:ascii="Times New Roman" w:eastAsia="Calibri" w:hAnsi="Times New Roman" w:cs="Times New Roman"/>
          <w:sz w:val="8"/>
          <w:lang w:val="hr-HR"/>
        </w:rPr>
      </w:pPr>
    </w:p>
    <w:p w:rsidR="008A7F8E" w:rsidRPr="008A7F8E" w:rsidRDefault="008A7F8E" w:rsidP="008A7F8E">
      <w:pPr>
        <w:spacing w:after="200" w:line="276" w:lineRule="auto"/>
        <w:rPr>
          <w:rFonts w:ascii="Times New Roman" w:eastAsia="Calibri" w:hAnsi="Times New Roman" w:cs="Times New Roman"/>
          <w:sz w:val="8"/>
          <w:lang w:val="hr-HR"/>
        </w:rPr>
      </w:pPr>
    </w:p>
    <w:p w:rsidR="008A7F8E" w:rsidRPr="008A7F8E" w:rsidRDefault="008A7F8E" w:rsidP="008A7F8E">
      <w:pPr>
        <w:keepNext/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</w:pPr>
      <w:r w:rsidRPr="008A7F8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  <w:t>Bilješka broj 09. (AOP 132, AOP 133) Prihodi iz proračuna za financiranje rashoda poslovanja i Prihodi iz nadležnog proračuna za financiranje rashoda za nabavu nefinancijske imovine</w:t>
      </w:r>
    </w:p>
    <w:p w:rsidR="008A7F8E" w:rsidRPr="008A7F8E" w:rsidRDefault="008A7F8E" w:rsidP="008A7F8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sz w:val="24"/>
          <w:szCs w:val="24"/>
          <w:lang w:val="hr-HR"/>
        </w:rPr>
        <w:t>U navedenim AOP-im evidentirani su osim redovnih prihoda MZO-a i prihodi MZO-a za nabavu nefinancijske imovine, prihodi za organiziranje i održavanje znanstvenih skupova, izdavanje znanstvenih knjiga i udžbenika, prihodi ostvareni Ugovorom o namjenskom višegodišnjem financiranju znanstvene djelatnosti za 2018. godinu, europski znanstveni projekti i međunarodna suradnja i prihodi za sufinanciranje časopisa MET. Detaljnije prikazano u Obrazloženju prihoda.</w:t>
      </w:r>
    </w:p>
    <w:p w:rsidR="008A7F8E" w:rsidRPr="008A7F8E" w:rsidRDefault="008A7F8E" w:rsidP="008A7F8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6"/>
          <w:szCs w:val="24"/>
          <w:lang w:val="hr-HR"/>
        </w:rPr>
      </w:pPr>
    </w:p>
    <w:p w:rsidR="008A7F8E" w:rsidRPr="008A7F8E" w:rsidRDefault="008A7F8E" w:rsidP="008A7F8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6"/>
          <w:szCs w:val="24"/>
          <w:lang w:val="hr-HR"/>
        </w:rPr>
      </w:pPr>
    </w:p>
    <w:p w:rsidR="008A7F8E" w:rsidRPr="008A7F8E" w:rsidRDefault="008A7F8E" w:rsidP="008A7F8E">
      <w:pPr>
        <w:keepNext/>
        <w:spacing w:before="120" w:after="0" w:line="240" w:lineRule="auto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</w:pPr>
      <w:r w:rsidRPr="008A7F8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hr-HR"/>
        </w:rPr>
        <w:t>Bilješka broj 14. (AOP 283  i AOP 284) Manjak prihoda poslovanja</w:t>
      </w:r>
    </w:p>
    <w:p w:rsidR="008A7F8E" w:rsidRPr="008A7F8E" w:rsidRDefault="008A7F8E" w:rsidP="008A7F8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sz w:val="24"/>
          <w:szCs w:val="24"/>
          <w:lang w:val="hr-HR"/>
        </w:rPr>
        <w:t>U tekućoj godini iskazan je višak prihoda poslovanja u  iznosu od  26.883 HRK.</w:t>
      </w:r>
    </w:p>
    <w:p w:rsidR="008A7F8E" w:rsidRPr="008A7F8E" w:rsidRDefault="008A7F8E" w:rsidP="008A7F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8A7F8E" w:rsidRPr="008A7F8E" w:rsidRDefault="008A7F8E" w:rsidP="008A7F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8A7F8E" w:rsidRPr="008A7F8E" w:rsidRDefault="008A7F8E" w:rsidP="008A7F8E">
      <w:pPr>
        <w:keepNext/>
        <w:spacing w:before="240" w:after="60" w:line="276" w:lineRule="auto"/>
        <w:ind w:left="927" w:hanging="360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hr-HR"/>
        </w:rPr>
      </w:pPr>
      <w:r w:rsidRPr="008A7F8E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hr-HR"/>
        </w:rPr>
        <w:t>Bilješke uz Izvještaj o rashodima prema funkcijskoj klasifikaciji - obrazac RAS-funkcijski</w:t>
      </w:r>
    </w:p>
    <w:p w:rsidR="008A7F8E" w:rsidRPr="008A7F8E" w:rsidRDefault="008A7F8E" w:rsidP="008A7F8E">
      <w:pPr>
        <w:spacing w:before="120" w:after="12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i/>
          <w:sz w:val="24"/>
          <w:szCs w:val="24"/>
          <w:lang w:val="hr-HR"/>
        </w:rPr>
        <w:t>Bilješka broj 15.</w:t>
      </w:r>
    </w:p>
    <w:p w:rsidR="008A7F8E" w:rsidRPr="008A7F8E" w:rsidRDefault="008A7F8E" w:rsidP="008A7F8E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lang w:val="hr-HR"/>
        </w:rPr>
      </w:pPr>
      <w:r w:rsidRPr="008A7F8E">
        <w:rPr>
          <w:rFonts w:ascii="Times New Roman" w:eastAsia="Calibri" w:hAnsi="Times New Roman" w:cs="Times New Roman"/>
          <w:sz w:val="24"/>
          <w:lang w:val="hr-HR"/>
        </w:rPr>
        <w:t>U Izvještaju o rashodima prema funkcijskoj klasifikaciji, rashodi poslovanja razreda 3 i rashodi za nabavu nefinancijske imovine razreda 4 razvrstani su po funkcijskoj klasifikacija: Istraživanja i razvoj: Opće javne usluge.</w:t>
      </w:r>
    </w:p>
    <w:p w:rsidR="008A7F8E" w:rsidRPr="008A7F8E" w:rsidRDefault="008A7F8E" w:rsidP="008A7F8E">
      <w:pPr>
        <w:spacing w:after="120" w:line="240" w:lineRule="auto"/>
        <w:jc w:val="both"/>
        <w:rPr>
          <w:rFonts w:ascii="Times New Roman" w:eastAsia="Calibri" w:hAnsi="Times New Roman" w:cs="Times New Roman"/>
          <w:lang w:val="hr-HR"/>
        </w:rPr>
      </w:pPr>
    </w:p>
    <w:p w:rsidR="008A7F8E" w:rsidRPr="008A7F8E" w:rsidRDefault="008A7F8E" w:rsidP="008A7F8E">
      <w:pPr>
        <w:keepNext/>
        <w:spacing w:before="240" w:after="60" w:line="276" w:lineRule="auto"/>
        <w:ind w:left="927" w:hanging="360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hr-HR"/>
        </w:rPr>
      </w:pPr>
      <w:r w:rsidRPr="008A7F8E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hr-HR"/>
        </w:rPr>
        <w:t>Bilješke uz Izvještaj o obvezama - obrazac OBVEZE</w:t>
      </w:r>
    </w:p>
    <w:p w:rsidR="008A7F8E" w:rsidRPr="008A7F8E" w:rsidRDefault="008A7F8E" w:rsidP="008A7F8E">
      <w:pPr>
        <w:spacing w:before="120" w:after="12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i/>
          <w:sz w:val="24"/>
          <w:szCs w:val="24"/>
          <w:lang w:val="hr-HR"/>
        </w:rPr>
        <w:t>Bilješka broj 16. (AOP 001) Stanje obveza 1. siječnja</w:t>
      </w:r>
    </w:p>
    <w:p w:rsidR="008A7F8E" w:rsidRPr="008A7F8E" w:rsidRDefault="008A7F8E" w:rsidP="008A7F8E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lang w:val="hr-HR"/>
        </w:rPr>
      </w:pPr>
      <w:r w:rsidRPr="008A7F8E">
        <w:rPr>
          <w:rFonts w:ascii="Times New Roman" w:eastAsia="Calibri" w:hAnsi="Times New Roman" w:cs="Times New Roman"/>
          <w:sz w:val="24"/>
          <w:lang w:val="hr-HR"/>
        </w:rPr>
        <w:t>Nepodmirene obveze iz prošle proračunske godine odnosile su se na ne dospjele obveze za prosinac prošle proračunske godine.</w:t>
      </w:r>
    </w:p>
    <w:p w:rsidR="008A7F8E" w:rsidRPr="008A7F8E" w:rsidRDefault="008A7F8E" w:rsidP="008A7F8E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lang w:val="hr-HR"/>
        </w:rPr>
      </w:pPr>
      <w:r w:rsidRPr="008A7F8E">
        <w:rPr>
          <w:rFonts w:ascii="Times New Roman" w:eastAsia="Calibri" w:hAnsi="Times New Roman" w:cs="Times New Roman"/>
          <w:sz w:val="24"/>
          <w:lang w:val="hr-HR"/>
        </w:rPr>
        <w:lastRenderedPageBreak/>
        <w:t>Institut nema dospjelih, a nepodmirenih obveza.</w:t>
      </w:r>
    </w:p>
    <w:p w:rsidR="008A7F8E" w:rsidRPr="008A7F8E" w:rsidRDefault="008A7F8E" w:rsidP="008A7F8E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lang w:val="hr-HR"/>
        </w:rPr>
      </w:pPr>
    </w:p>
    <w:p w:rsidR="008A7F8E" w:rsidRPr="008A7F8E" w:rsidRDefault="008A7F8E" w:rsidP="008A7F8E">
      <w:pPr>
        <w:spacing w:after="12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i/>
          <w:sz w:val="24"/>
          <w:szCs w:val="24"/>
          <w:lang w:val="hr-HR"/>
        </w:rPr>
        <w:t>Bilješka broj 17. (AOP 092) Stanje nedospjelih obveza na kraju izvještajnog razdoblja</w:t>
      </w:r>
    </w:p>
    <w:p w:rsidR="008A7F8E" w:rsidRPr="008A7F8E" w:rsidRDefault="008A7F8E" w:rsidP="008A7F8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sz w:val="24"/>
          <w:lang w:val="hr-HR"/>
        </w:rPr>
        <w:t>Nepodmirene, a ne dospjele obveze na dan 31. prosinca 2019. godine odnose se na  dospjele obveze za mjesec prosinac 2019. proračunske godine.</w:t>
      </w:r>
    </w:p>
    <w:p w:rsidR="008A7F8E" w:rsidRPr="008A7F8E" w:rsidRDefault="008A7F8E" w:rsidP="008A7F8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sz w:val="24"/>
          <w:szCs w:val="24"/>
          <w:lang w:val="hr-HR"/>
        </w:rPr>
        <w:tab/>
      </w:r>
    </w:p>
    <w:p w:rsidR="008A7F8E" w:rsidRPr="008A7F8E" w:rsidRDefault="008A7F8E" w:rsidP="008A7F8E">
      <w:pPr>
        <w:spacing w:after="200" w:line="276" w:lineRule="auto"/>
        <w:rPr>
          <w:rFonts w:ascii="Times New Roman" w:eastAsia="Calibri" w:hAnsi="Times New Roman" w:cs="Times New Roman"/>
          <w:sz w:val="24"/>
          <w:lang w:val="hr-HR"/>
        </w:rPr>
      </w:pPr>
    </w:p>
    <w:p w:rsidR="008A7F8E" w:rsidRPr="008A7F8E" w:rsidRDefault="008A7F8E" w:rsidP="008A7F8E">
      <w:pPr>
        <w:spacing w:after="200" w:line="276" w:lineRule="auto"/>
        <w:rPr>
          <w:rFonts w:ascii="Times New Roman" w:eastAsia="Calibri" w:hAnsi="Times New Roman" w:cs="Times New Roman"/>
          <w:sz w:val="24"/>
          <w:lang w:val="hr-HR"/>
        </w:rPr>
      </w:pPr>
    </w:p>
    <w:p w:rsidR="008A7F8E" w:rsidRPr="008A7F8E" w:rsidRDefault="008A7F8E" w:rsidP="008A7F8E">
      <w:pPr>
        <w:spacing w:after="200" w:line="276" w:lineRule="auto"/>
        <w:rPr>
          <w:rFonts w:ascii="Times New Roman" w:eastAsia="Calibri" w:hAnsi="Times New Roman" w:cs="Times New Roman"/>
          <w:sz w:val="24"/>
          <w:lang w:val="hr-HR"/>
        </w:rPr>
      </w:pPr>
    </w:p>
    <w:p w:rsidR="008A7F8E" w:rsidRPr="008A7F8E" w:rsidRDefault="008A7F8E" w:rsidP="008A7F8E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sz w:val="24"/>
          <w:szCs w:val="24"/>
          <w:lang w:val="hr-HR"/>
        </w:rPr>
        <w:t>Mjesto:</w:t>
      </w:r>
      <w:r w:rsidRPr="008A7F8E">
        <w:rPr>
          <w:rFonts w:ascii="Times New Roman" w:eastAsia="Calibri" w:hAnsi="Times New Roman" w:cs="Times New Roman"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sz w:val="24"/>
          <w:szCs w:val="24"/>
          <w:bdr w:val="single" w:sz="4" w:space="0" w:color="auto"/>
          <w:shd w:val="clear" w:color="auto" w:fill="DAEEF3"/>
          <w:lang w:val="hr-HR"/>
        </w:rPr>
        <w:t>Zagreb</w:t>
      </w:r>
      <w:r w:rsidRPr="008A7F8E">
        <w:rPr>
          <w:rFonts w:ascii="Times New Roman" w:eastAsia="Calibri" w:hAnsi="Times New Roman" w:cs="Times New Roman"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sz w:val="24"/>
          <w:szCs w:val="24"/>
          <w:lang w:val="hr-HR"/>
        </w:rPr>
        <w:tab/>
        <w:t>Datum:</w:t>
      </w:r>
      <w:r w:rsidRPr="008A7F8E">
        <w:rPr>
          <w:rFonts w:ascii="Times New Roman" w:eastAsia="Calibri" w:hAnsi="Times New Roman" w:cs="Times New Roman"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sz w:val="24"/>
          <w:szCs w:val="24"/>
          <w:bdr w:val="single" w:sz="4" w:space="0" w:color="auto"/>
          <w:shd w:val="clear" w:color="auto" w:fill="DAEEF3"/>
          <w:lang w:val="hr-HR"/>
        </w:rPr>
        <w:t>27.01.2020.</w:t>
      </w:r>
    </w:p>
    <w:p w:rsidR="008A7F8E" w:rsidRPr="008A7F8E" w:rsidRDefault="008A7F8E" w:rsidP="008A7F8E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8A7F8E" w:rsidRPr="008A7F8E" w:rsidRDefault="008A7F8E" w:rsidP="008A7F8E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sz w:val="24"/>
          <w:szCs w:val="24"/>
          <w:lang w:val="hr-HR"/>
        </w:rPr>
        <w:t>Osoba za kontaktiranje:</w:t>
      </w:r>
      <w:r w:rsidRPr="008A7F8E">
        <w:rPr>
          <w:rFonts w:ascii="Times New Roman" w:eastAsia="Calibri" w:hAnsi="Times New Roman" w:cs="Times New Roman"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sz w:val="24"/>
          <w:szCs w:val="24"/>
          <w:bdr w:val="single" w:sz="4" w:space="0" w:color="auto"/>
          <w:shd w:val="clear" w:color="auto" w:fill="DAEEF3"/>
          <w:lang w:val="hr-HR"/>
        </w:rPr>
        <w:t>Tanja Babić</w:t>
      </w:r>
    </w:p>
    <w:p w:rsidR="008A7F8E" w:rsidRPr="008A7F8E" w:rsidRDefault="008A7F8E" w:rsidP="008A7F8E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8A7F8E" w:rsidRPr="008A7F8E" w:rsidRDefault="008A7F8E" w:rsidP="008A7F8E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sz w:val="24"/>
          <w:szCs w:val="24"/>
          <w:lang w:val="hr-HR"/>
        </w:rPr>
        <w:t>Telefon za kontakt:</w:t>
      </w:r>
      <w:r w:rsidRPr="008A7F8E">
        <w:rPr>
          <w:rFonts w:ascii="Times New Roman" w:eastAsia="Calibri" w:hAnsi="Times New Roman" w:cs="Times New Roman"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sz w:val="24"/>
          <w:szCs w:val="24"/>
          <w:bdr w:val="single" w:sz="4" w:space="0" w:color="auto"/>
          <w:shd w:val="clear" w:color="auto" w:fill="DAEEF3"/>
          <w:lang w:val="hr-HR"/>
        </w:rPr>
        <w:t>016111550</w:t>
      </w:r>
    </w:p>
    <w:p w:rsidR="008A7F8E" w:rsidRPr="008A7F8E" w:rsidRDefault="008A7F8E" w:rsidP="008A7F8E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8A7F8E" w:rsidRPr="008A7F8E" w:rsidRDefault="008A7F8E" w:rsidP="008A7F8E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sz w:val="24"/>
          <w:szCs w:val="24"/>
          <w:lang w:val="hr-HR"/>
        </w:rPr>
        <w:t>Odgovorna osoba:</w:t>
      </w:r>
      <w:r w:rsidRPr="008A7F8E">
        <w:rPr>
          <w:rFonts w:ascii="Times New Roman" w:eastAsia="Calibri" w:hAnsi="Times New Roman" w:cs="Times New Roman"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sz w:val="24"/>
          <w:szCs w:val="24"/>
          <w:bdr w:val="single" w:sz="4" w:space="0" w:color="auto"/>
          <w:shd w:val="clear" w:color="auto" w:fill="DAEEF3"/>
          <w:lang w:val="hr-HR"/>
        </w:rPr>
        <w:t>dr.sc. Marina Perić Kaselj, ravnatelj</w:t>
      </w:r>
      <w:r w:rsidR="007A2F64">
        <w:rPr>
          <w:rFonts w:ascii="Times New Roman" w:eastAsia="Calibri" w:hAnsi="Times New Roman" w:cs="Times New Roman"/>
          <w:sz w:val="24"/>
          <w:szCs w:val="24"/>
          <w:bdr w:val="single" w:sz="4" w:space="0" w:color="auto"/>
          <w:shd w:val="clear" w:color="auto" w:fill="DAEEF3"/>
          <w:lang w:val="hr-HR"/>
        </w:rPr>
        <w:t>ica</w:t>
      </w:r>
      <w:r w:rsidRPr="008A7F8E">
        <w:rPr>
          <w:rFonts w:ascii="Times New Roman" w:eastAsia="Calibri" w:hAnsi="Times New Roman" w:cs="Times New Roman"/>
          <w:sz w:val="24"/>
          <w:szCs w:val="24"/>
          <w:bdr w:val="single" w:sz="4" w:space="0" w:color="auto"/>
          <w:shd w:val="clear" w:color="auto" w:fill="DAEEF3"/>
          <w:lang w:val="hr-HR"/>
        </w:rPr>
        <w:t xml:space="preserve"> Instituta</w:t>
      </w:r>
    </w:p>
    <w:p w:rsidR="008A7F8E" w:rsidRPr="008A7F8E" w:rsidRDefault="008A7F8E" w:rsidP="008A7F8E">
      <w:pPr>
        <w:shd w:val="clear" w:color="auto" w:fill="FFFFFF"/>
        <w:spacing w:before="120"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:rsidR="008A7F8E" w:rsidRPr="008A7F8E" w:rsidRDefault="008A7F8E" w:rsidP="008A7F8E">
      <w:pPr>
        <w:shd w:val="clear" w:color="auto" w:fill="FFFFFF"/>
        <w:spacing w:before="120"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:rsidR="008A7F8E" w:rsidRPr="008A7F8E" w:rsidRDefault="008A7F8E" w:rsidP="008A7F8E">
      <w:pPr>
        <w:shd w:val="clear" w:color="auto" w:fill="FFFFFF"/>
        <w:spacing w:before="120"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Odgovorna osoba: </w:t>
      </w:r>
    </w:p>
    <w:p w:rsidR="008A7F8E" w:rsidRPr="008A7F8E" w:rsidRDefault="008A7F8E" w:rsidP="008A7F8E">
      <w:pPr>
        <w:shd w:val="clear" w:color="auto" w:fill="FFFFFF"/>
        <w:spacing w:before="120"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</w:pPr>
    </w:p>
    <w:p w:rsidR="008A7F8E" w:rsidRPr="008A7F8E" w:rsidRDefault="008A7F8E" w:rsidP="008A7F8E">
      <w:pPr>
        <w:shd w:val="clear" w:color="auto" w:fill="FFFFFF"/>
        <w:spacing w:before="120"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</w:pPr>
    </w:p>
    <w:p w:rsidR="008A7F8E" w:rsidRPr="008A7F8E" w:rsidRDefault="008A7F8E" w:rsidP="008A7F8E">
      <w:pPr>
        <w:shd w:val="clear" w:color="auto" w:fill="FFFFFF"/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8A7F8E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>(potpis)</w:t>
      </w:r>
      <w:r w:rsidRPr="008A7F8E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ab/>
      </w:r>
      <w:r w:rsidRPr="008A7F8E">
        <w:rPr>
          <w:rFonts w:ascii="Times New Roman" w:eastAsia="Calibri" w:hAnsi="Times New Roman" w:cs="Times New Roman"/>
          <w:sz w:val="24"/>
          <w:szCs w:val="24"/>
          <w:lang w:val="hr-HR"/>
        </w:rPr>
        <w:t>M.P.</w:t>
      </w:r>
    </w:p>
    <w:p w:rsidR="00F5338C" w:rsidRDefault="00F5338C"/>
    <w:sectPr w:rsidR="00F5338C" w:rsidSect="0067688F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D25" w:rsidRDefault="00312D25" w:rsidP="008A7F8E">
      <w:pPr>
        <w:spacing w:after="0" w:line="240" w:lineRule="auto"/>
      </w:pPr>
      <w:r>
        <w:separator/>
      </w:r>
    </w:p>
  </w:endnote>
  <w:endnote w:type="continuationSeparator" w:id="0">
    <w:p w:rsidR="00312D25" w:rsidRDefault="00312D25" w:rsidP="008A7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F8E" w:rsidRDefault="008A7F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296" w:rsidRDefault="00312D25" w:rsidP="00085FD9">
    <w:pPr>
      <w:shd w:val="clear" w:color="auto" w:fill="FFFFFF"/>
      <w:spacing w:after="0" w:line="240" w:lineRule="auto"/>
      <w:rPr>
        <w:i/>
        <w:sz w:val="16"/>
        <w:szCs w:val="25"/>
      </w:rPr>
    </w:pPr>
  </w:p>
  <w:p w:rsidR="00737AFB" w:rsidRPr="00D0646B" w:rsidRDefault="00B72511" w:rsidP="00085FD9">
    <w:pPr>
      <w:shd w:val="clear" w:color="auto" w:fill="FFFFFF"/>
      <w:spacing w:after="0" w:line="240" w:lineRule="auto"/>
      <w:rPr>
        <w:rFonts w:ascii="Calibri" w:hAnsi="Calibri" w:cs="Calibri"/>
        <w:i/>
        <w:sz w:val="16"/>
        <w:szCs w:val="25"/>
      </w:rPr>
    </w:pPr>
    <w:r w:rsidRPr="00D0646B">
      <w:rPr>
        <w:rFonts w:ascii="Calibri" w:hAnsi="Calibri" w:cs="Calibri"/>
        <w:i/>
        <w:sz w:val="16"/>
        <w:szCs w:val="25"/>
      </w:rPr>
      <w:t>_________________________________________________________________________________________________________________</w:t>
    </w:r>
  </w:p>
  <w:p w:rsidR="00085FD9" w:rsidRPr="004441A8" w:rsidRDefault="00B72511" w:rsidP="00737296">
    <w:pPr>
      <w:jc w:val="right"/>
      <w:rPr>
        <w:sz w:val="18"/>
      </w:rPr>
    </w:pPr>
    <w:r w:rsidRPr="004441A8">
      <w:rPr>
        <w:sz w:val="18"/>
      </w:rPr>
      <w:t xml:space="preserve">                       stranica </w:t>
    </w:r>
    <w:r w:rsidRPr="004441A8">
      <w:rPr>
        <w:b/>
        <w:sz w:val="19"/>
        <w:szCs w:val="19"/>
      </w:rPr>
      <w:fldChar w:fldCharType="begin"/>
    </w:r>
    <w:r w:rsidRPr="004441A8">
      <w:rPr>
        <w:b/>
        <w:sz w:val="19"/>
        <w:szCs w:val="19"/>
      </w:rPr>
      <w:instrText xml:space="preserve"> PAGE </w:instrText>
    </w:r>
    <w:r w:rsidRPr="004441A8">
      <w:rPr>
        <w:b/>
        <w:sz w:val="19"/>
        <w:szCs w:val="19"/>
      </w:rPr>
      <w:fldChar w:fldCharType="separate"/>
    </w:r>
    <w:r w:rsidR="009369D0">
      <w:rPr>
        <w:b/>
        <w:noProof/>
        <w:sz w:val="19"/>
        <w:szCs w:val="19"/>
      </w:rPr>
      <w:t>2</w:t>
    </w:r>
    <w:r w:rsidRPr="004441A8">
      <w:rPr>
        <w:b/>
        <w:sz w:val="19"/>
        <w:szCs w:val="19"/>
      </w:rPr>
      <w:fldChar w:fldCharType="end"/>
    </w:r>
    <w:r w:rsidRPr="004441A8">
      <w:rPr>
        <w:sz w:val="18"/>
      </w:rPr>
      <w:t xml:space="preserve"> od </w:t>
    </w:r>
    <w:r w:rsidRPr="004441A8">
      <w:rPr>
        <w:sz w:val="18"/>
      </w:rPr>
      <w:fldChar w:fldCharType="begin"/>
    </w:r>
    <w:r w:rsidRPr="004441A8">
      <w:rPr>
        <w:sz w:val="18"/>
      </w:rPr>
      <w:instrText xml:space="preserve"> NUMPAGES  </w:instrText>
    </w:r>
    <w:r w:rsidRPr="004441A8">
      <w:rPr>
        <w:sz w:val="18"/>
      </w:rPr>
      <w:fldChar w:fldCharType="separate"/>
    </w:r>
    <w:r w:rsidR="009369D0">
      <w:rPr>
        <w:noProof/>
        <w:sz w:val="18"/>
      </w:rPr>
      <w:t>4</w:t>
    </w:r>
    <w:r w:rsidRPr="004441A8">
      <w:rPr>
        <w:sz w:val="18"/>
      </w:rPr>
      <w:fldChar w:fldCharType="end"/>
    </w:r>
    <w:r w:rsidRPr="004441A8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F8E" w:rsidRDefault="008A7F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D25" w:rsidRDefault="00312D25" w:rsidP="008A7F8E">
      <w:pPr>
        <w:spacing w:after="0" w:line="240" w:lineRule="auto"/>
      </w:pPr>
      <w:r>
        <w:separator/>
      </w:r>
    </w:p>
  </w:footnote>
  <w:footnote w:type="continuationSeparator" w:id="0">
    <w:p w:rsidR="00312D25" w:rsidRDefault="00312D25" w:rsidP="008A7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F8E" w:rsidRDefault="008A7F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FD9" w:rsidRDefault="008A7F8E">
    <w:pPr>
      <w:pStyle w:val="Header"/>
    </w:pPr>
    <w:r w:rsidRPr="001750F7">
      <w:rPr>
        <w:noProof/>
      </w:rPr>
      <w:drawing>
        <wp:inline distT="0" distB="0" distL="0" distR="0">
          <wp:extent cx="2343150" cy="180975"/>
          <wp:effectExtent l="0" t="0" r="0" b="9525"/>
          <wp:docPr id="1" name="Picture 1" descr="ide_gl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_gla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F8E" w:rsidRDefault="008A7F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F8E"/>
    <w:rsid w:val="00312D25"/>
    <w:rsid w:val="00452A06"/>
    <w:rsid w:val="007A2F64"/>
    <w:rsid w:val="007B5E49"/>
    <w:rsid w:val="008327E7"/>
    <w:rsid w:val="008A7F8E"/>
    <w:rsid w:val="009369D0"/>
    <w:rsid w:val="009C5D15"/>
    <w:rsid w:val="00B72511"/>
    <w:rsid w:val="00F5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9311FF"/>
  <w15:chartTrackingRefBased/>
  <w15:docId w15:val="{C0F9BA80-C3BD-4CC1-B0AB-5094C654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E49"/>
  </w:style>
  <w:style w:type="paragraph" w:styleId="Heading1">
    <w:name w:val="heading 1"/>
    <w:basedOn w:val="Normal"/>
    <w:next w:val="Normal"/>
    <w:link w:val="Heading1Char"/>
    <w:uiPriority w:val="9"/>
    <w:qFormat/>
    <w:rsid w:val="007B5E4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E4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E49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E4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E4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E4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E49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E49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E49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7F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F8E"/>
  </w:style>
  <w:style w:type="paragraph" w:styleId="FootnoteText">
    <w:name w:val="footnote text"/>
    <w:basedOn w:val="Normal"/>
    <w:link w:val="FootnoteTextChar"/>
    <w:uiPriority w:val="99"/>
    <w:semiHidden/>
    <w:unhideWhenUsed/>
    <w:rsid w:val="008A7F8E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val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7F8E"/>
    <w:rPr>
      <w:rFonts w:ascii="Times New Roman" w:eastAsia="Calibri" w:hAnsi="Times New Roman" w:cs="Times New Roman"/>
      <w:sz w:val="20"/>
      <w:szCs w:val="20"/>
      <w:lang w:val="hr-HR"/>
    </w:rPr>
  </w:style>
  <w:style w:type="character" w:styleId="FootnoteReference">
    <w:name w:val="footnote reference"/>
    <w:uiPriority w:val="99"/>
    <w:semiHidden/>
    <w:unhideWhenUsed/>
    <w:rsid w:val="008A7F8E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8A7F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F8E"/>
  </w:style>
  <w:style w:type="character" w:customStyle="1" w:styleId="Heading1Char">
    <w:name w:val="Heading 1 Char"/>
    <w:basedOn w:val="DefaultParagraphFont"/>
    <w:link w:val="Heading1"/>
    <w:uiPriority w:val="9"/>
    <w:rsid w:val="007B5E49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E49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E49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E49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E49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E49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E49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E49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E49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B5E49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7B5E4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B5E49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E49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E49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7B5E49"/>
    <w:rPr>
      <w:b/>
      <w:bCs/>
    </w:rPr>
  </w:style>
  <w:style w:type="character" w:styleId="Emphasis">
    <w:name w:val="Emphasis"/>
    <w:basedOn w:val="DefaultParagraphFont"/>
    <w:uiPriority w:val="20"/>
    <w:qFormat/>
    <w:rsid w:val="007B5E49"/>
    <w:rPr>
      <w:i/>
      <w:iCs/>
    </w:rPr>
  </w:style>
  <w:style w:type="paragraph" w:styleId="NoSpacing">
    <w:name w:val="No Spacing"/>
    <w:uiPriority w:val="1"/>
    <w:qFormat/>
    <w:rsid w:val="007B5E4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B5E49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7B5E49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E49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E49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B5E4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B5E4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B5E4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B5E49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7B5E49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5E49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2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A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rodne-novine.nn.hr/clanci/sluzbeni/2012_12_136_2878.html" TargetMode="External"/><Relationship Id="rId13" Type="http://schemas.openxmlformats.org/officeDocument/2006/relationships/hyperlink" Target="http://narodne-novine.nn.hr/clanci/sluzbeni/2010_02_26_610.html" TargetMode="External"/><Relationship Id="rId18" Type="http://schemas.openxmlformats.org/officeDocument/2006/relationships/hyperlink" Target="http://narodne-novine.nn.hr/clanci/sluzbeni/2014_02_19_366.html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://narodne-novine.nn.hr/clanci/sluzbeni/2013_10_130_2830.html" TargetMode="External"/><Relationship Id="rId7" Type="http://schemas.openxmlformats.org/officeDocument/2006/relationships/hyperlink" Target="http://www.nn.hr/clanci/sluzbeno/2008/2791.htm" TargetMode="External"/><Relationship Id="rId12" Type="http://schemas.openxmlformats.org/officeDocument/2006/relationships/hyperlink" Target="http://narodne-novine.nn.hr/clanci/sluzbeni/2015_01_3_59.html" TargetMode="External"/><Relationship Id="rId17" Type="http://schemas.openxmlformats.org/officeDocument/2006/relationships/hyperlink" Target="http://narodne-novine.nn.hr/clanci/sluzbeni/2010_12_139_3530.html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narodne-novine.nn.hr/clanci/sluzbeni/2014_12_142_2674.html" TargetMode="External"/><Relationship Id="rId20" Type="http://schemas.openxmlformats.org/officeDocument/2006/relationships/hyperlink" Target="http://narodne-novine.nn.hr/clanci/sluzbeni/2012_09_106_2301.htm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narodne-novine.nn.hr/clanci/sluzbeni/2011_03_32_721.html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narodne-novine.nn.hr/clanci/sluzbeni/2009_10_128_3152.html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://narodne-novine.nn.hr/clanci/sluzbeni/2013_02_24_396.html" TargetMode="External"/><Relationship Id="rId19" Type="http://schemas.openxmlformats.org/officeDocument/2006/relationships/hyperlink" Target="http://narodne-novine.nn.hr/clanci/sluzbeni/2011_07_78_164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rodne-novine.nn.hr/clanci/sluzbeni/2015_02_15_277.html" TargetMode="External"/><Relationship Id="rId14" Type="http://schemas.openxmlformats.org/officeDocument/2006/relationships/hyperlink" Target="http://narodne-novine.nn.hr/clanci/sluzbeni/2013_09_120_2580.html" TargetMode="External"/><Relationship Id="rId22" Type="http://schemas.openxmlformats.org/officeDocument/2006/relationships/hyperlink" Target="http://narodne-novine.nn.hr/clanci/sluzbeni/2015_02_19_408.html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F4852-1A8B-4B15-B22A-020F15ECF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Babić</dc:creator>
  <cp:keywords/>
  <dc:description/>
  <cp:lastModifiedBy>Tanja Babić</cp:lastModifiedBy>
  <cp:revision>5</cp:revision>
  <cp:lastPrinted>2020-01-29T12:15:00Z</cp:lastPrinted>
  <dcterms:created xsi:type="dcterms:W3CDTF">2020-01-29T11:49:00Z</dcterms:created>
  <dcterms:modified xsi:type="dcterms:W3CDTF">2020-02-03T08:20:00Z</dcterms:modified>
</cp:coreProperties>
</file>